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凉山州中西医结合医院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  <w:t>病理科新风系统竞争性谈判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我单位拟对凉山州中西医结合医院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病理科新风系统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进行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竞争性谈判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采购，兹邀请符合本次竞争性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谈判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采购要求的潜在供货商参加。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凉山州中西医结合医院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病理科新风系统竞争性谈判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二、采购文件的领取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领取时间：2023年10月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日至招标前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领取方式：自行在医院官网下载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（凉山彝族自治州中西医结合医院·四川省彝医医院【官方网站】 https://www.lszzxy.com/hos_mgr/）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三、采购申请人递交竞标文件截止时间及份数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2023年10月1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日08:30（北京时间）提交采购文件两份。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采购申请文件必须在采购截止时间前送达采购地点，逾期送达和标注不符合采购文件规定的文件恕不接受。本次采购不接受邮寄的采购申请文件。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四、采购地点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凉山州中西医结合医院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一住院楼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十楼会议室（河东大道二段60号）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五、采购时间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2023年10月1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日09:00（开标时间）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竞争性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谈判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采购人：凉山州中西医结合医院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地址：西昌市河东大道二段60号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朱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联系电话：0834-2165799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采购主要内容（拟控制总价：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29874.94元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W w:w="9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10"/>
        <w:gridCol w:w="1416"/>
        <w:gridCol w:w="1552"/>
        <w:gridCol w:w="1002"/>
        <w:gridCol w:w="892"/>
        <w:gridCol w:w="1155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凉山州中西医结合医院病理科新风系统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功能特性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双向流新风机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室内换气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控制面板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新风开关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PVC新风管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新风管道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PVC新风管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新风管道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PVC新风管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新风管道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PVC新风管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新风管道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pvc异径直接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pvc等径直接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pvc等径直接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pvc等径直接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pvc等径弯头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ABS室内风口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ABS室内风口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室外不锈钢防雨风口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PVC吊卡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PVC吊卡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PVC吊卡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新风管件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PVC胶水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膨胀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电源、线管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控制线、线管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3P漏电保护开关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墙体打孔、吊顶开孔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更换玻璃及开孔（含人工）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设备安装费 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管路安装费 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吊顶拆除恢复费 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备注：1、此新风系统设计为普通新风循环换气系统。2、施工周期为：5个日历天。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投标人资格要求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有效的营业执照；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经营许可证及供货产品相关资质；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投标公司法人身份证复印件；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承诺书（承诺所交资质文件皆真实有效，提供虚假资料者取消报名资格）；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不接受联合体投标；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报价要求：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本次院内采购报价为包干价，采购最高限价为：29874.94元。</w:t>
      </w:r>
    </w:p>
    <w:p>
      <w:pPr>
        <w:numPr>
          <w:ilvl w:val="0"/>
          <w:numId w:val="3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满足参数后最低报价者中标。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</w:t>
      </w:r>
    </w:p>
    <w:p>
      <w:pPr>
        <w:numPr>
          <w:ilvl w:val="0"/>
          <w:numId w:val="4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招标人应在院内采购结束后1日内，公示结果，无异议后向中选人发书面中选通知书。中选人应在收到书面中选通知后24小时内向招标人书面确认。</w:t>
      </w:r>
    </w:p>
    <w:p>
      <w:pPr>
        <w:numPr>
          <w:ilvl w:val="0"/>
          <w:numId w:val="4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中选人应在收到书面中选通知书后3日内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与招标人签订合同。</w:t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凉山彝族自治州中西医结合医院</w:t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2023年10月10日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795C9"/>
    <w:multiLevelType w:val="singleLevel"/>
    <w:tmpl w:val="BA5795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BA636A"/>
    <w:multiLevelType w:val="singleLevel"/>
    <w:tmpl w:val="BDBA63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EBF56F4"/>
    <w:multiLevelType w:val="singleLevel"/>
    <w:tmpl w:val="EEBF56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E26E206"/>
    <w:multiLevelType w:val="singleLevel"/>
    <w:tmpl w:val="FE26E2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OTYwZDg2MzJmOTFkZTYyZjg0YzYxYmIwMGJmYTcifQ=="/>
  </w:docVars>
  <w:rsids>
    <w:rsidRoot w:val="59553CF0"/>
    <w:rsid w:val="12D15108"/>
    <w:rsid w:val="202F7912"/>
    <w:rsid w:val="2BDF024B"/>
    <w:rsid w:val="323C7C18"/>
    <w:rsid w:val="32506D5C"/>
    <w:rsid w:val="32C0366C"/>
    <w:rsid w:val="3B2B5513"/>
    <w:rsid w:val="43E36014"/>
    <w:rsid w:val="49D47917"/>
    <w:rsid w:val="513A63A9"/>
    <w:rsid w:val="59553CF0"/>
    <w:rsid w:val="68EA1FEF"/>
    <w:rsid w:val="7386076C"/>
    <w:rsid w:val="74225105"/>
    <w:rsid w:val="751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2023-10-10T03:26:00Z</dcterms:created>
  <dc:creator>Administrator</dc:creator>
  <cp:lastModifiedBy>二黑丶</cp:lastModifiedBy>
  <cp:lastPrinted>2023-10-10T06:50:00Z</cp:lastPrinted>
  <dcterms:modified xsi:type="dcterms:W3CDTF">2023-10-10T07:28:48Z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00DD72A81D8B415684747368E224F361_11</vt:lpwstr>
  </property>
</Properties>
</file>